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  <w:bookmarkStart w:id="0" w:name="_GoBack"/>
      <w:r>
        <w:rPr>
          <w:sz w:val="28"/>
          <w:szCs w:val="28"/>
          <w:shd w:val="clear" w:color="auto" w:fill="auto"/>
        </w:rPr>
        <w:drawing>
          <wp:inline distT="0" distB="0" distL="114300" distR="114300">
            <wp:extent cx="474980" cy="562610"/>
            <wp:effectExtent l="0" t="0" r="1270" b="8890"/>
            <wp:docPr id="1" name="Изображение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true"/>
                    </pic:cNvPicPr>
                  </pic:nvPicPr>
                  <pic:blipFill>
                    <a:blip r:embed="rId4">
                      <a:lum bright="-17999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1800" w:firstLineChars="75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АДМИНИСТРАЦИЯ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НЕВОНСКОГО СЕЛЬСОВЕТА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БОГУЧАНСКОГО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 РАЙОНА</w:t>
      </w:r>
      <w:r>
        <w:rPr>
          <w:rFonts w:hint="default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КРАСНОЯРСКОГО КРАЯ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4000" w:firstLineChars="20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0"/>
          <w:szCs w:val="20"/>
          <w:shd w:val="clear" w:color="auto" w:fill="auto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4000" w:firstLineChars="20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0"/>
          <w:szCs w:val="20"/>
          <w:shd w:val="clear" w:color="auto" w:fill="auto"/>
          <w:lang w:val="ru-RU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0"/>
          <w:szCs w:val="20"/>
          <w:shd w:val="clear" w:color="auto" w:fill="auto"/>
          <w:lang w:val="ru-RU"/>
        </w:rPr>
        <w:t>ПОСТАНОВЛЕНИЕ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120" w:firstLineChars="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От 26.01. 2023г.                    п. Невонка                         № 05-п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right="0"/>
        <w:jc w:val="left"/>
        <w:rPr>
          <w:rFonts w:hint="default"/>
          <w:sz w:val="24"/>
          <w:szCs w:val="24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right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 внесении изменения в постановление № 51 от 21.07.2022г.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566" w:type="dxa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  утверждении  Правил внутреннего  трудового распорядка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Невонского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сельс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овета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240" w:leftChars="120" w:right="0" w:firstLine="79" w:firstLineChars="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соответствии со статьями 18, 30 Устава Невонского сельсовета Богучанского района  Красноярского края.    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right="0" w:firstLine="960" w:firstLineChars="4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right="0" w:firstLine="960" w:firstLineChars="4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ПОСТАНОВЛЯЮ :</w:t>
      </w:r>
      <w:r>
        <w:rPr>
          <w:rFonts w:hint="default" w:ascii="Times New Roman" w:hAnsi="Times New Roman" w:cs="Times New Roman"/>
          <w:sz w:val="24"/>
          <w:szCs w:val="24"/>
        </w:rPr>
        <w:t>  </w:t>
      </w:r>
    </w:p>
    <w:p>
      <w:pPr>
        <w:widowControl/>
        <w:numPr>
          <w:ilvl w:val="0"/>
          <w:numId w:val="0"/>
        </w:numPr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1.Внести изменения в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Правила внутреннего трудового распорядка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дминистра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ции Невонского сельсовета: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Читать ст 3. п.3.1в следующей редакции: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Работодатель имеет право: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вести коллективные переговоры и заключать коллективные договоры;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поощрять работников за добросовестный эффективный труд;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труда; 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 настоящим Кодексом, иными федеральными законами;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принимать локальные нормативные акты (за исключением работодателей - физических лиц, не являющихся индивидуальными предпринимателями); 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 объединения работодателей в целях представительства и защиты своих интересов и вступать в них;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 производственный совет (за исключением работодателей - физических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 Полномочия, состав, порядок деятельности производственного совета и его взаимодействия с работодателем устанавливаются локальным нормативным актом. К полномочиям производственного совета не могут относиться вопросы, решение 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настоящим Кодексом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 )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реализовывать права, предоставленные ему законодательством о специальной оценке условий труда; 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обследование). 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Читать ст 3. п.3.2в следующей редакции: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Работодатель обязан: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вести коллективные переговоры, а также заключать коллективный договор в порядке, установленном настоящим Кодексом;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 условия, обеспечивающие участие работников в управлении организацией в предусмотренных настоящим Кодексом, иными федеральными законами и коллективным договором формах;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другими федеральными законами и иными нормативными правовыми актами Российской Федерации;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 </w:t>
      </w: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Читать ст.4. п.4.2.в следующей редакции: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 имеет право на: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настоящим Кодексом, иными федеральными законами;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предоставление ему работы, обусловленной трудовым договором;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рабочее место, соответствующее государственным нормативным требованиям охраны труда и условиям, предусмотренным коллективным договором; 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подготовку и дополнительное профессиональное образование в порядке, установленном настоящим Кодексом, иными федеральными законами; 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управлении организацией в предусмотренных настоящим Кодексом, иными федеральными законами и коллективным договором формах;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настоящим Кодексом, иными федеральными законами; 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 обязан: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трудовую дисциплину;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выполнять установленные нормы труда;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>
      <w:pPr>
        <w:spacing w:beforeLines="0" w:after="15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tabs>
          <w:tab w:val="left" w:pos="0"/>
        </w:tabs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. Ознакомить под роспись работников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Нево</w:t>
      </w:r>
      <w:r>
        <w:rPr>
          <w:rFonts w:hint="default" w:ascii="Times New Roman" w:hAnsi="Times New Roman" w:cs="Times New Roman"/>
          <w:sz w:val="24"/>
          <w:szCs w:val="24"/>
        </w:rPr>
        <w:t>нского сель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совета с внесенными изменениями в  </w:t>
      </w:r>
      <w:r>
        <w:rPr>
          <w:rFonts w:hint="default" w:ascii="Times New Roman" w:hAnsi="Times New Roman" w:cs="Times New Roman"/>
          <w:sz w:val="24"/>
          <w:szCs w:val="24"/>
        </w:rPr>
        <w:t>Правила внутреннего трудового распорядка</w:t>
      </w: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Настоящее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постановление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подлежит размещению на официальном сайте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Невонского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tabs>
          <w:tab w:val="left" w:pos="3435"/>
        </w:tabs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Контроль за исполнением настоящего распоряжения оставляю за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собой.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</w:t>
      </w: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FFFFF"/>
        <w:tabs>
          <w:tab w:val="left" w:pos="0"/>
        </w:tabs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Глава Невонского сельсовета                                     Л.Е. Зуйкина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АДМИНИСТРАЦИЯ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НЕВОНСКОГО СЕЛЬСОВЕТА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БОГУЧАНСКОГО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 РАЙОНА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КРАСНОЯРСКОГО КРАЯ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  <w:t>ПОСТАНОВЛЕНИЕ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/>
        </w:rPr>
      </w:pPr>
      <w:r>
        <w:rPr>
          <w:rFonts w:hint="default"/>
        </w:rPr>
        <w:t xml:space="preserve">от </w:t>
      </w:r>
      <w:r>
        <w:rPr>
          <w:rFonts w:hint="default"/>
          <w:lang w:val="ru-RU"/>
        </w:rPr>
        <w:t xml:space="preserve">12.01. </w:t>
      </w:r>
      <w:r>
        <w:rPr>
          <w:rFonts w:hint="default"/>
        </w:rPr>
        <w:t>20</w:t>
      </w:r>
      <w:r>
        <w:rPr>
          <w:rFonts w:hint="default"/>
          <w:lang w:val="ru-RU"/>
        </w:rPr>
        <w:t>21</w:t>
      </w:r>
      <w:r>
        <w:rPr>
          <w:rFonts w:hint="default"/>
        </w:rPr>
        <w:t xml:space="preserve"> г.        </w:t>
      </w:r>
      <w:r>
        <w:rPr>
          <w:rFonts w:hint="default"/>
          <w:lang w:val="ru-RU"/>
        </w:rPr>
        <w:t xml:space="preserve">               п.Невонка               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№</w:t>
      </w:r>
      <w:r>
        <w:rPr>
          <w:rFonts w:hint="default"/>
        </w:rPr>
        <w:t>  </w:t>
      </w:r>
      <w:r>
        <w:rPr>
          <w:rFonts w:hint="default"/>
          <w:lang w:val="ru-RU"/>
        </w:rPr>
        <w:t>05-п</w:t>
      </w:r>
      <w:r>
        <w:rPr>
          <w:rFonts w:hint="default"/>
        </w:rPr>
        <w:t>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/>
          <w:lang w:val="ru-RU"/>
        </w:rPr>
      </w:pPr>
      <w:r>
        <w:rPr>
          <w:rFonts w:hint="default"/>
        </w:rPr>
        <w:t>                    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Об организации оплачиваемых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общественных работ в 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 году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Style w:val="5"/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            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             В соответствии со ст. 24 Закона Российской Федерации от 19.04.1991 г. № 1032-1 «О занятости населения в Российской Федерации» (с последующими дополнениями и изменениями), пунктом 8 Положения об организации общественных работ, утвержденного постановлением Правительства Российской Федерации от 14 июля 1997 г. № 875 (с последующими изменениями и дополнениями),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статьей 24 Закона Красноярского края от 10.07.2008г. за №6-1930 «О правительстве Красноярского края и иных органах исполнительной власти Красноярского края», Положение об агенстве труда и занятости населения Красноярского края, утвержденным постановлением Правительства Красноярского края от 15.07.2010г. №387-п и для своевременной организации по трудоустройству безработных и ищущих работу граждан,</w:t>
      </w:r>
      <w:r>
        <w:rPr>
          <w:rFonts w:hint="default" w:ascii="Times New Roman" w:hAnsi="Times New Roman" w:cs="Times New Roman"/>
          <w:sz w:val="26"/>
          <w:szCs w:val="26"/>
        </w:rPr>
        <w:t xml:space="preserve"> в целях обеспечения временной занятости и дополнительной социальной поддержки граждан, ищущих работу и безработных граждан, администрация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Невонского сельсовета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Богучанского района Красноярского края                                           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    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ПОСТАНОВЛЯЮ: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  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</w:t>
      </w:r>
      <w:r>
        <w:rPr>
          <w:rFonts w:hint="default" w:ascii="Times New Roman" w:hAnsi="Times New Roman" w:cs="Times New Roman"/>
          <w:sz w:val="26"/>
          <w:szCs w:val="26"/>
        </w:rPr>
        <w:t xml:space="preserve">.Утвердить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перечень</w:t>
      </w:r>
      <w:r>
        <w:rPr>
          <w:rFonts w:hint="default" w:ascii="Times New Roman" w:hAnsi="Times New Roman" w:cs="Times New Roman"/>
          <w:sz w:val="26"/>
          <w:szCs w:val="26"/>
        </w:rPr>
        <w:t xml:space="preserve"> общественных работ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, имеющих социально полезную направленность для администрации Невонского сельсовета</w:t>
      </w:r>
      <w:r>
        <w:rPr>
          <w:rFonts w:hint="default" w:ascii="Times New Roman" w:hAnsi="Times New Roman" w:cs="Times New Roman"/>
          <w:sz w:val="26"/>
          <w:szCs w:val="26"/>
        </w:rPr>
        <w:t xml:space="preserve"> (приложение №1).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  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2.Бухгалтерии Невонского сельсовета осуществлять финансирование затрат на оплату труда участников общественных работ за счет средств местного бюджета.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  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3. С</w:t>
      </w:r>
      <w:r>
        <w:rPr>
          <w:rFonts w:hint="default" w:ascii="Times New Roman" w:hAnsi="Times New Roman" w:cs="Times New Roman"/>
          <w:sz w:val="26"/>
          <w:szCs w:val="26"/>
        </w:rPr>
        <w:t>оздать временные рабочие места для проведения оплачиваемых общественных работ и сообщить 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КГКУ</w:t>
      </w:r>
      <w:r>
        <w:rPr>
          <w:rFonts w:hint="default" w:ascii="Times New Roman" w:hAnsi="Times New Roman" w:cs="Times New Roman"/>
          <w:sz w:val="26"/>
          <w:szCs w:val="26"/>
        </w:rPr>
        <w:t xml:space="preserve"> «Центр занятости населения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Богучанского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район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sz w:val="26"/>
          <w:szCs w:val="26"/>
        </w:rPr>
        <w:t>» сведения о видах организуемых работ, периодах их проведения, количестве созданных рабочих мест, условиях оплаты труда;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(20 рабочих мест- гражданам и 10 рабочих мест на временное трудоустройство несовершеннолетних)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     5.Контроль за исполнением настоящего постановления возложить на заместителя главы администрации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Невонского сельсовета Чернову Наталью Павловну.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     6.Настоящее постановление подлежит официальному опубликованию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газете</w:t>
      </w:r>
      <w:r>
        <w:rPr>
          <w:rFonts w:hint="default" w:ascii="Times New Roman" w:hAnsi="Times New Roman" w:cs="Times New Roman"/>
          <w:sz w:val="26"/>
          <w:szCs w:val="26"/>
        </w:rPr>
        <w:t xml:space="preserve"> 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Депутатский вестник</w:t>
      </w:r>
      <w:r>
        <w:rPr>
          <w:rFonts w:hint="default" w:ascii="Times New Roman" w:hAnsi="Times New Roman" w:cs="Times New Roman"/>
          <w:sz w:val="26"/>
          <w:szCs w:val="26"/>
        </w:rPr>
        <w:t>».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     7.Настоящее постановление вступает в силу со дня его подписания и распространяется на правоотношения, возникшие с 01 января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</w:t>
      </w:r>
      <w:r>
        <w:rPr>
          <w:rFonts w:hint="default" w:ascii="Times New Roman" w:hAnsi="Times New Roman" w:cs="Times New Roman"/>
          <w:sz w:val="26"/>
          <w:szCs w:val="26"/>
        </w:rPr>
        <w:t xml:space="preserve"> года.</w:t>
      </w:r>
    </w:p>
    <w:p>
      <w:pPr>
        <w:bidi w:val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  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 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Невонского сельсовета                    Л.Е.Зуйкина.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</w:t>
      </w:r>
    </w:p>
    <w:p>
      <w:pPr>
        <w:bidi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Приложение № 1</w:t>
      </w:r>
    </w:p>
    <w:p>
      <w:pPr>
        <w:bidi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</w:rPr>
        <w:t>администрации</w:t>
      </w:r>
    </w:p>
    <w:p>
      <w:pPr>
        <w:bidi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Невонского   сельсовета </w:t>
      </w:r>
    </w:p>
    <w:p>
      <w:pPr>
        <w:bidi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                                                                     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 12.01. № 05-п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righ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                                                                                            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ВИДЫ ОБЩЕСТВЕННЫХ РАБОТ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Style w:val="5"/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архивные вспомогательные работы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благоустройство, озеленение и очистка терри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тории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восстановление и сохранение историко-архитектурных памятников, зон отдыха, парков культуры, скверов: озеленение, посадка, прополка, обрезка деревьев, вырубка и уборка поросли, скашивание травы и др.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выполнение мелких ремонтно-строительных работ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на игровых площадках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вырубка кустарников, деревьев, покос травы, уборка территорий от мусора, работы по вывозу мусор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на территории кладбища.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мероприятия по экологическому оздоровлению территори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обеспечение социальной поддержки населения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: одиноко проживающих пенсионеров, труженников тыла, ветеранов ВОВ.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(вскапывание огородов, заготовка дров, косметический ремонт квартир и др.)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обслуживание зрелищных мероприятий культурного назначения (фестивалей,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культурных мероприятий,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 спортивных соревнований и др.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очистка дорожных покрытий от грязи и снега в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общественных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 местах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подготовка рабочих мест для временной занятости школьников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по программе «Молодежь приангарья»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подготовка почвы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 и посадка цветов в парке, аллее Славы, 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приведение в порядок воинских захоронений, мемориалов, братских могил, кладбищ, содержание мест захоронения и д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 xml:space="preserve">р.                    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ремонт шт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  <w:lang w:val="ru-RU"/>
        </w:rPr>
        <w:t>акетника муниципального имущества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и другие виды общественных работ, согласно Каталогу видов общественных работ, утвержденному Министерством труда и социального развития.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120" w:afterAutospacing="0" w:line="21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shd w:val="clear" w:color="auto" w:fill="auto"/>
        </w:rPr>
      </w:pPr>
      <w:r>
        <w:rPr>
          <w:rStyle w:val="5"/>
          <w:rFonts w:hint="default" w:ascii="Times New Roman" w:hAnsi="Times New Roman" w:cs="Times New Roman"/>
          <w:i w:val="0"/>
          <w:caps w:val="0"/>
          <w:color w:val="333333"/>
          <w:spacing w:val="0"/>
          <w:sz w:val="24"/>
          <w:szCs w:val="24"/>
          <w:shd w:val="clear" w:color="auto" w:fill="auto"/>
        </w:rPr>
        <w:t>                              </w:t>
      </w: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p>
      <w:pPr>
        <w:shd w:val="clear"/>
        <w:rPr>
          <w:shd w:val="clear" w:color="auto" w:fill="auto"/>
        </w:rPr>
      </w:pPr>
    </w:p>
    <w:sectPr>
      <w:pgSz w:w="11906" w:h="16838"/>
      <w:pgMar w:top="816" w:right="1009" w:bottom="816" w:left="146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E7875"/>
    <w:rsid w:val="4FE6592A"/>
    <w:rsid w:val="5FD9D118"/>
    <w:rsid w:val="6CDC3782"/>
    <w:rsid w:val="73BF84A4"/>
    <w:rsid w:val="7F7B5CC1"/>
    <w:rsid w:val="7F9FB1DB"/>
    <w:rsid w:val="7FFDB5F7"/>
    <w:rsid w:val="7FFFDD90"/>
    <w:rsid w:val="9BBE507D"/>
    <w:rsid w:val="BD3E03CD"/>
    <w:rsid w:val="E7F927A6"/>
    <w:rsid w:val="EBEF10A0"/>
    <w:rsid w:val="F7CE7875"/>
    <w:rsid w:val="FFBBC28E"/>
    <w:rsid w:val="FFFFB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2021-02-13T22:45:00Z</dcterms:created>
  <dc:creator>glava</dc:creator>
  <cp:lastModifiedBy>glava</cp:lastModifiedBy>
  <cp:lastPrinted>2023-02-02T17:03:21Z</cp:lastPrinted>
  <dcterms:modified xsi:type="dcterms:W3CDTF">2023-02-02T17:04:15Z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